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D1" w:rsidRPr="009C5DF7" w:rsidRDefault="00C34494" w:rsidP="009963D0">
      <w:pPr>
        <w:jc w:val="center"/>
        <w:rPr>
          <w:sz w:val="32"/>
        </w:rPr>
      </w:pPr>
      <w:bookmarkStart w:id="0" w:name="_GoBack"/>
      <w:bookmarkEnd w:id="0"/>
      <w:r>
        <w:rPr>
          <w:rFonts w:hint="eastAsia"/>
          <w:sz w:val="32"/>
        </w:rPr>
        <w:t>健康サポート業務</w:t>
      </w:r>
      <w:r w:rsidR="009963D0" w:rsidRPr="009C5DF7">
        <w:rPr>
          <w:rFonts w:hint="eastAsia"/>
          <w:sz w:val="32"/>
        </w:rPr>
        <w:t>手順書チェックシート</w:t>
      </w:r>
    </w:p>
    <w:p w:rsidR="009963D0" w:rsidRPr="00C34494" w:rsidRDefault="009963D0"/>
    <w:p w:rsidR="009963D0" w:rsidRDefault="00560A68">
      <w:r>
        <w:rPr>
          <w:rFonts w:hint="eastAsia"/>
        </w:rPr>
        <w:t xml:space="preserve">　健康サポート業務</w:t>
      </w:r>
      <w:r w:rsidR="009963D0">
        <w:rPr>
          <w:rFonts w:hint="eastAsia"/>
        </w:rPr>
        <w:t>手順書には、以下の内容が記載されていること。</w:t>
      </w:r>
    </w:p>
    <w:tbl>
      <w:tblPr>
        <w:tblStyle w:val="a3"/>
        <w:tblW w:w="0" w:type="auto"/>
        <w:tblLook w:val="04A0" w:firstRow="1" w:lastRow="0" w:firstColumn="1" w:lastColumn="0" w:noHBand="0" w:noVBand="1"/>
      </w:tblPr>
      <w:tblGrid>
        <w:gridCol w:w="8330"/>
        <w:gridCol w:w="938"/>
      </w:tblGrid>
      <w:tr w:rsidR="009963D0" w:rsidTr="009963D0">
        <w:tc>
          <w:tcPr>
            <w:tcW w:w="8330" w:type="dxa"/>
          </w:tcPr>
          <w:p w:rsidR="009963D0" w:rsidRDefault="009963D0" w:rsidP="009963D0">
            <w:pPr>
              <w:jc w:val="center"/>
            </w:pPr>
            <w:r>
              <w:rPr>
                <w:rFonts w:hint="eastAsia"/>
              </w:rPr>
              <w:t>記　　　載　　　事　　　項</w:t>
            </w:r>
          </w:p>
        </w:tc>
        <w:tc>
          <w:tcPr>
            <w:tcW w:w="938" w:type="dxa"/>
          </w:tcPr>
          <w:p w:rsidR="009963D0" w:rsidRPr="009963D0" w:rsidRDefault="009963D0" w:rsidP="009963D0">
            <w:pPr>
              <w:jc w:val="center"/>
              <w:rPr>
                <w:w w:val="50"/>
              </w:rPr>
            </w:pPr>
            <w:r w:rsidRPr="009963D0">
              <w:rPr>
                <w:rFonts w:hint="eastAsia"/>
                <w:w w:val="50"/>
              </w:rPr>
              <w:t>チェック欄</w:t>
            </w:r>
          </w:p>
        </w:tc>
      </w:tr>
      <w:tr w:rsidR="009963D0" w:rsidTr="009963D0">
        <w:tc>
          <w:tcPr>
            <w:tcW w:w="8330" w:type="dxa"/>
          </w:tcPr>
          <w:p w:rsidR="009963D0" w:rsidRDefault="009963D0" w:rsidP="009963D0">
            <w:pPr>
              <w:ind w:left="480" w:hangingChars="200" w:hanging="480"/>
            </w:pPr>
            <w:r>
              <w:rPr>
                <w:rFonts w:hint="eastAsia"/>
              </w:rPr>
              <w:t>（１）</w:t>
            </w:r>
            <w:r w:rsidR="00560A68">
              <w:rPr>
                <w:rFonts w:hint="eastAsia"/>
              </w:rPr>
              <w:t>要指導医薬品等及び健康に関する相談に適切に対応した上で、そのやり取りを通じて、必要に応じ医療機関への受診勧奨を行うこと。</w:t>
            </w:r>
          </w:p>
        </w:tc>
        <w:sdt>
          <w:sdtPr>
            <w:id w:val="-2005037339"/>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（２）</w:t>
            </w:r>
            <w:r w:rsidR="00560A68">
              <w:rPr>
                <w:rFonts w:hint="eastAsia"/>
              </w:rPr>
              <w:t>健康に関する相談を受けた場合に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sdt>
          <w:sdtPr>
            <w:id w:val="511111558"/>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560A68">
            <w:pPr>
              <w:ind w:left="480" w:hangingChars="200" w:hanging="480"/>
            </w:pPr>
            <w:r>
              <w:rPr>
                <w:rFonts w:hint="eastAsia"/>
              </w:rPr>
              <w:t>（３）</w:t>
            </w:r>
            <w:r w:rsidR="00560A68">
              <w:rPr>
                <w:rFonts w:hint="eastAsia"/>
              </w:rPr>
              <w:t>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sdt>
          <w:sdtPr>
            <w:id w:val="275447750"/>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560A68">
            <w:pPr>
              <w:ind w:left="480" w:hangingChars="200" w:hanging="480"/>
            </w:pPr>
            <w:r>
              <w:rPr>
                <w:rFonts w:hint="eastAsia"/>
              </w:rPr>
              <w:t>（４）</w:t>
            </w:r>
            <w:r w:rsidR="00560A68">
              <w:rPr>
                <w:rFonts w:hint="eastAsia"/>
              </w:rPr>
              <w:t>上記（１）～（３）に基づき受診勧奨又は紹介を行う際、必要な情報を紹介先の医療機関その他の連携機関に紹介文書により提供すること。</w:t>
            </w:r>
          </w:p>
        </w:tc>
        <w:sdt>
          <w:sdtPr>
            <w:id w:val="-1127772048"/>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560A68" w:rsidRDefault="009963D0" w:rsidP="00560A68">
            <w:pPr>
              <w:autoSpaceDE w:val="0"/>
              <w:autoSpaceDN w:val="0"/>
              <w:ind w:left="240" w:hangingChars="100" w:hanging="240"/>
            </w:pPr>
            <w:r>
              <w:rPr>
                <w:rFonts w:hint="eastAsia"/>
              </w:rPr>
              <w:t>（５）</w:t>
            </w:r>
            <w:r w:rsidR="00560A68">
              <w:rPr>
                <w:rFonts w:hint="eastAsia"/>
              </w:rPr>
              <w:t>以下のような場合に受診勧奨すること。</w:t>
            </w:r>
          </w:p>
          <w:p w:rsidR="00560A68" w:rsidRDefault="00560A68" w:rsidP="00560A68">
            <w:pPr>
              <w:autoSpaceDE w:val="0"/>
              <w:autoSpaceDN w:val="0"/>
              <w:ind w:leftChars="200" w:left="720" w:hangingChars="100" w:hanging="240"/>
            </w:pPr>
            <w:r>
              <w:rPr>
                <w:rFonts w:hint="eastAsia"/>
              </w:rPr>
              <w:t>○　医師の診断がなされている場合に、医師の指示に従わずに受診していないことが判明した場合</w:t>
            </w:r>
          </w:p>
          <w:p w:rsidR="00560A68" w:rsidRDefault="00560A68" w:rsidP="00560A68">
            <w:pPr>
              <w:autoSpaceDE w:val="0"/>
              <w:autoSpaceDN w:val="0"/>
              <w:ind w:leftChars="200" w:left="720" w:hangingChars="100" w:hanging="240"/>
            </w:pPr>
            <w:r>
              <w:rPr>
                <w:rFonts w:hint="eastAsia"/>
              </w:rPr>
              <w:t>○　かかりつけ医がいるにもかかわらず、一定期間受診していないことが判明した場合</w:t>
            </w:r>
          </w:p>
          <w:p w:rsidR="00560A68" w:rsidRDefault="00560A68" w:rsidP="00560A68">
            <w:pPr>
              <w:autoSpaceDE w:val="0"/>
              <w:autoSpaceDN w:val="0"/>
              <w:ind w:leftChars="200" w:left="480"/>
            </w:pPr>
            <w:r>
              <w:rPr>
                <w:rFonts w:hint="eastAsia"/>
              </w:rPr>
              <w:t>○　定期健診その他必要な健診を受診していないことが判明した場合</w:t>
            </w:r>
          </w:p>
          <w:p w:rsidR="00560A68" w:rsidRDefault="00560A68" w:rsidP="00560A68">
            <w:pPr>
              <w:autoSpaceDE w:val="0"/>
              <w:autoSpaceDN w:val="0"/>
              <w:ind w:leftChars="200" w:left="720" w:hangingChars="100" w:hanging="240"/>
            </w:pPr>
            <w:r>
              <w:rPr>
                <w:rFonts w:hint="eastAsia"/>
              </w:rPr>
              <w:t>○　状態が悪い場合など要指導医薬品等による対応が困難であることが疑われる場合</w:t>
            </w:r>
          </w:p>
          <w:p w:rsidR="009963D0" w:rsidRDefault="00560A68" w:rsidP="00560A68">
            <w:pPr>
              <w:ind w:leftChars="200" w:left="480"/>
            </w:pPr>
            <w:r>
              <w:rPr>
                <w:rFonts w:hint="eastAsia"/>
              </w:rPr>
              <w:t>○　要指導医薬品等を使用した後、状態の改善が明らかでない場合</w:t>
            </w:r>
          </w:p>
        </w:tc>
        <w:sdt>
          <w:sdtPr>
            <w:id w:val="2026665410"/>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r w:rsidR="009963D0" w:rsidTr="009963D0">
        <w:tc>
          <w:tcPr>
            <w:tcW w:w="8330" w:type="dxa"/>
          </w:tcPr>
          <w:p w:rsidR="009963D0" w:rsidRDefault="009963D0" w:rsidP="009963D0">
            <w:pPr>
              <w:ind w:left="480" w:hangingChars="200" w:hanging="480"/>
            </w:pPr>
            <w:r>
              <w:rPr>
                <w:rFonts w:hint="eastAsia"/>
              </w:rPr>
              <w:t>（６）</w:t>
            </w:r>
            <w:r w:rsidR="00560A68">
              <w:rPr>
                <w:rFonts w:hint="eastAsia"/>
              </w:rPr>
              <w:t>要指導医薬品等又は健康食品等に関する相談に対し、薬局利用者の状況や当該品目の特性を十分に踏まえた上で、専門的知識に基づき説明すること。</w:t>
            </w:r>
          </w:p>
        </w:tc>
        <w:sdt>
          <w:sdtPr>
            <w:id w:val="-493032790"/>
            <w14:checkbox>
              <w14:checked w14:val="0"/>
              <w14:checkedState w14:val="2611" w14:font="ＭＳ Ｐゴシック"/>
              <w14:uncheckedState w14:val="2610" w14:font="ＭＳ ゴシック"/>
            </w14:checkbox>
          </w:sdtPr>
          <w:sdtEndPr/>
          <w:sdtContent>
            <w:tc>
              <w:tcPr>
                <w:tcW w:w="938" w:type="dxa"/>
              </w:tcPr>
              <w:p w:rsidR="009963D0" w:rsidRDefault="009963D0" w:rsidP="009C5DF7">
                <w:pPr>
                  <w:jc w:val="center"/>
                </w:pPr>
                <w:r>
                  <w:rPr>
                    <w:rFonts w:hAnsi="ＭＳ ゴシック" w:hint="eastAsia"/>
                  </w:rPr>
                  <w:t>☐</w:t>
                </w:r>
              </w:p>
            </w:tc>
          </w:sdtContent>
        </w:sdt>
      </w:tr>
    </w:tbl>
    <w:p w:rsidR="009963D0" w:rsidRPr="009963D0" w:rsidRDefault="009963D0"/>
    <w:sectPr w:rsidR="009963D0" w:rsidRPr="009963D0" w:rsidSect="009963D0">
      <w:headerReference w:type="default" r:id="rId7"/>
      <w:pgSz w:w="11906" w:h="16838" w:code="9"/>
      <w:pgMar w:top="1418" w:right="1418" w:bottom="1418" w:left="1418" w:header="567" w:footer="28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49" w:rsidRDefault="00830A49" w:rsidP="009C5DF7">
      <w:r>
        <w:separator/>
      </w:r>
    </w:p>
  </w:endnote>
  <w:endnote w:type="continuationSeparator" w:id="0">
    <w:p w:rsidR="00830A49" w:rsidRDefault="00830A49" w:rsidP="009C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49" w:rsidRDefault="00830A49" w:rsidP="009C5DF7">
      <w:r>
        <w:separator/>
      </w:r>
    </w:p>
  </w:footnote>
  <w:footnote w:type="continuationSeparator" w:id="0">
    <w:p w:rsidR="00830A49" w:rsidRDefault="00830A49" w:rsidP="009C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7" w:rsidRPr="00296A85" w:rsidRDefault="00296A85">
    <w:pPr>
      <w:pStyle w:val="a6"/>
      <w:rPr>
        <w:rFonts w:asciiTheme="majorEastAsia" w:eastAsiaTheme="majorEastAsia" w:hAnsiTheme="majorEastAsia"/>
        <w:sz w:val="22"/>
      </w:rPr>
    </w:pPr>
    <w:r>
      <w:rPr>
        <w:rFonts w:asciiTheme="majorEastAsia" w:eastAsiaTheme="majorEastAsia" w:hAnsiTheme="majorEastAsia" w:hint="eastAsia"/>
        <w:sz w:val="22"/>
      </w:rPr>
      <w:t>健康サポート届出様式第３</w:t>
    </w:r>
    <w:r w:rsidR="009C5DF7" w:rsidRPr="00296A85">
      <w:rPr>
        <w:rFonts w:asciiTheme="majorEastAsia" w:eastAsiaTheme="majorEastAsia" w:hAnsiTheme="majorEastAsia"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D0"/>
    <w:rsid w:val="00296A85"/>
    <w:rsid w:val="002A3B99"/>
    <w:rsid w:val="004735C6"/>
    <w:rsid w:val="00560A68"/>
    <w:rsid w:val="00700ACB"/>
    <w:rsid w:val="007E5E81"/>
    <w:rsid w:val="00830A49"/>
    <w:rsid w:val="009963D0"/>
    <w:rsid w:val="009C5DF7"/>
    <w:rsid w:val="00A86725"/>
    <w:rsid w:val="00B36AD1"/>
    <w:rsid w:val="00C34494"/>
    <w:rsid w:val="00C36783"/>
    <w:rsid w:val="00C455D8"/>
    <w:rsid w:val="00C5629C"/>
    <w:rsid w:val="00E0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D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3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3D0"/>
    <w:rPr>
      <w:rFonts w:asciiTheme="majorHAnsi" w:eastAsiaTheme="majorEastAsia" w:hAnsiTheme="majorHAnsi" w:cstheme="majorBidi"/>
      <w:sz w:val="18"/>
      <w:szCs w:val="18"/>
    </w:rPr>
  </w:style>
  <w:style w:type="paragraph" w:styleId="a6">
    <w:name w:val="header"/>
    <w:basedOn w:val="a"/>
    <w:link w:val="a7"/>
    <w:uiPriority w:val="99"/>
    <w:unhideWhenUsed/>
    <w:rsid w:val="009C5DF7"/>
    <w:pPr>
      <w:tabs>
        <w:tab w:val="center" w:pos="4252"/>
        <w:tab w:val="right" w:pos="8504"/>
      </w:tabs>
      <w:snapToGrid w:val="0"/>
    </w:pPr>
  </w:style>
  <w:style w:type="character" w:customStyle="1" w:styleId="a7">
    <w:name w:val="ヘッダー (文字)"/>
    <w:basedOn w:val="a0"/>
    <w:link w:val="a6"/>
    <w:uiPriority w:val="99"/>
    <w:rsid w:val="009C5DF7"/>
    <w:rPr>
      <w:rFonts w:ascii="ＭＳ ゴシック" w:eastAsia="ＭＳ ゴシック"/>
    </w:rPr>
  </w:style>
  <w:style w:type="paragraph" w:styleId="a8">
    <w:name w:val="footer"/>
    <w:basedOn w:val="a"/>
    <w:link w:val="a9"/>
    <w:uiPriority w:val="99"/>
    <w:unhideWhenUsed/>
    <w:rsid w:val="009C5DF7"/>
    <w:pPr>
      <w:tabs>
        <w:tab w:val="center" w:pos="4252"/>
        <w:tab w:val="right" w:pos="8504"/>
      </w:tabs>
      <w:snapToGrid w:val="0"/>
    </w:pPr>
  </w:style>
  <w:style w:type="character" w:customStyle="1" w:styleId="a9">
    <w:name w:val="フッター (文字)"/>
    <w:basedOn w:val="a0"/>
    <w:link w:val="a8"/>
    <w:uiPriority w:val="99"/>
    <w:rsid w:val="009C5DF7"/>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D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3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3D0"/>
    <w:rPr>
      <w:rFonts w:asciiTheme="majorHAnsi" w:eastAsiaTheme="majorEastAsia" w:hAnsiTheme="majorHAnsi" w:cstheme="majorBidi"/>
      <w:sz w:val="18"/>
      <w:szCs w:val="18"/>
    </w:rPr>
  </w:style>
  <w:style w:type="paragraph" w:styleId="a6">
    <w:name w:val="header"/>
    <w:basedOn w:val="a"/>
    <w:link w:val="a7"/>
    <w:uiPriority w:val="99"/>
    <w:unhideWhenUsed/>
    <w:rsid w:val="009C5DF7"/>
    <w:pPr>
      <w:tabs>
        <w:tab w:val="center" w:pos="4252"/>
        <w:tab w:val="right" w:pos="8504"/>
      </w:tabs>
      <w:snapToGrid w:val="0"/>
    </w:pPr>
  </w:style>
  <w:style w:type="character" w:customStyle="1" w:styleId="a7">
    <w:name w:val="ヘッダー (文字)"/>
    <w:basedOn w:val="a0"/>
    <w:link w:val="a6"/>
    <w:uiPriority w:val="99"/>
    <w:rsid w:val="009C5DF7"/>
    <w:rPr>
      <w:rFonts w:ascii="ＭＳ ゴシック" w:eastAsia="ＭＳ ゴシック"/>
    </w:rPr>
  </w:style>
  <w:style w:type="paragraph" w:styleId="a8">
    <w:name w:val="footer"/>
    <w:basedOn w:val="a"/>
    <w:link w:val="a9"/>
    <w:uiPriority w:val="99"/>
    <w:unhideWhenUsed/>
    <w:rsid w:val="009C5DF7"/>
    <w:pPr>
      <w:tabs>
        <w:tab w:val="center" w:pos="4252"/>
        <w:tab w:val="right" w:pos="8504"/>
      </w:tabs>
      <w:snapToGrid w:val="0"/>
    </w:pPr>
  </w:style>
  <w:style w:type="character" w:customStyle="1" w:styleId="a9">
    <w:name w:val="フッター (文字)"/>
    <w:basedOn w:val="a0"/>
    <w:link w:val="a8"/>
    <w:uiPriority w:val="99"/>
    <w:rsid w:val="009C5DF7"/>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2016-08-16T00:29:00Z</dcterms:created>
  <dcterms:modified xsi:type="dcterms:W3CDTF">2016-08-16T00:29:00Z</dcterms:modified>
</cp:coreProperties>
</file>